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004B3E">
        <w:trPr>
          <w:trHeight w:val="17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4B3E" w:rsidRDefault="00004B3E">
            <w:pPr>
              <w:pStyle w:val="TableContents"/>
              <w:jc w:val="both"/>
              <w:rPr>
                <w:sz w:val="4"/>
              </w:rPr>
            </w:pPr>
          </w:p>
        </w:tc>
      </w:tr>
    </w:tbl>
    <w:p w:rsidR="00004B3E" w:rsidRDefault="0058600F">
      <w:pPr>
        <w:pStyle w:val="Textbody"/>
        <w:jc w:val="center"/>
        <w:rPr>
          <w:sz w:val="28"/>
        </w:rPr>
      </w:pPr>
      <w:r>
        <w:rPr>
          <w:sz w:val="28"/>
        </w:rPr>
        <w:t>Информация о занятости подростков</w:t>
      </w:r>
      <w:bookmarkStart w:id="0" w:name="_GoBack"/>
      <w:bookmarkEnd w:id="0"/>
    </w:p>
    <w:p w:rsidR="00004B3E" w:rsidRDefault="00004B3E">
      <w:pPr>
        <w:pStyle w:val="Textbody"/>
        <w:jc w:val="center"/>
        <w:rPr>
          <w:sz w:val="28"/>
        </w:rPr>
      </w:pPr>
    </w:p>
    <w:p w:rsidR="00004B3E" w:rsidRDefault="009E6654">
      <w:pPr>
        <w:jc w:val="both"/>
      </w:pPr>
      <w:r>
        <w:tab/>
      </w:r>
      <w:r>
        <w:rPr>
          <w:sz w:val="28"/>
        </w:rPr>
        <w:t xml:space="preserve"> В первой половине 2020 году в центр занятости населения  за различными услугами, в том числе</w:t>
      </w:r>
      <w:r w:rsidR="00FF6741">
        <w:rPr>
          <w:sz w:val="28"/>
        </w:rPr>
        <w:t xml:space="preserve">  в поисках работы обратилось  37</w:t>
      </w:r>
      <w:r>
        <w:rPr>
          <w:sz w:val="28"/>
        </w:rPr>
        <w:t xml:space="preserve">  несовершеннолетних граждан в возрасте</w:t>
      </w:r>
      <w:r w:rsidR="00DB232E">
        <w:rPr>
          <w:sz w:val="28"/>
        </w:rPr>
        <w:t xml:space="preserve"> от 14 до 18 лет, в том числе  3</w:t>
      </w:r>
      <w:r>
        <w:rPr>
          <w:sz w:val="28"/>
        </w:rPr>
        <w:t xml:space="preserve"> подростка, находящихся в социально опасном положении.</w:t>
      </w:r>
    </w:p>
    <w:p w:rsidR="00004B3E" w:rsidRDefault="009E6654">
      <w:pPr>
        <w:spacing w:after="200" w:line="276" w:lineRule="auto"/>
      </w:pPr>
      <w:r>
        <w:tab/>
      </w:r>
      <w:r>
        <w:rPr>
          <w:sz w:val="28"/>
        </w:rPr>
        <w:t xml:space="preserve">Службой занятости была проделана определенная работа с данной категорией граждан:  </w:t>
      </w:r>
    </w:p>
    <w:p w:rsidR="00004B3E" w:rsidRDefault="009E6654">
      <w:pPr>
        <w:jc w:val="both"/>
      </w:pPr>
      <w:r>
        <w:tab/>
      </w:r>
      <w:r>
        <w:rPr>
          <w:sz w:val="28"/>
        </w:rPr>
        <w:t xml:space="preserve">-информирование </w:t>
      </w:r>
      <w:r>
        <w:rPr>
          <w:rFonts w:ascii="Times New Roman CYR" w:hAnsi="Times New Roman CYR"/>
          <w:sz w:val="28"/>
        </w:rPr>
        <w:t>несовершеннолетних о положении на рынке труда, о возможнос</w:t>
      </w:r>
      <w:r w:rsidR="00FF6741">
        <w:rPr>
          <w:rFonts w:ascii="Times New Roman CYR" w:hAnsi="Times New Roman CYR"/>
          <w:sz w:val="28"/>
        </w:rPr>
        <w:t>ти профессионального обучения -37</w:t>
      </w:r>
      <w:r>
        <w:rPr>
          <w:rFonts w:ascii="Times New Roman CYR" w:hAnsi="Times New Roman CYR"/>
          <w:sz w:val="28"/>
        </w:rPr>
        <w:t xml:space="preserve"> человек, в том числе 2 подростка, находящихся в социально опасном положении;</w:t>
      </w:r>
    </w:p>
    <w:p w:rsidR="00004B3E" w:rsidRDefault="009E6654">
      <w:pPr>
        <w:jc w:val="both"/>
      </w:pPr>
      <w:r>
        <w:tab/>
      </w:r>
      <w:r>
        <w:rPr>
          <w:sz w:val="28"/>
        </w:rPr>
        <w:t>-</w:t>
      </w:r>
      <w:r>
        <w:rPr>
          <w:rFonts w:ascii="Times New Roman CYR" w:hAnsi="Times New Roman CYR"/>
          <w:sz w:val="28"/>
        </w:rPr>
        <w:t>трудоустройство на временные рабочие места —</w:t>
      </w:r>
      <w:r w:rsidR="00FF6741">
        <w:rPr>
          <w:rFonts w:ascii="Times New Roman CYR" w:hAnsi="Times New Roman CYR"/>
          <w:sz w:val="28"/>
        </w:rPr>
        <w:t>37</w:t>
      </w:r>
      <w:r>
        <w:rPr>
          <w:rFonts w:ascii="Times New Roman CYR" w:hAnsi="Times New Roman CYR"/>
          <w:sz w:val="28"/>
        </w:rPr>
        <w:t xml:space="preserve"> человек, в том числе  1 подросток, находящийся в социально опасном положении;</w:t>
      </w:r>
    </w:p>
    <w:p w:rsidR="00004B3E" w:rsidRDefault="00004B3E">
      <w:pPr>
        <w:pStyle w:val="a8"/>
        <w:jc w:val="both"/>
      </w:pPr>
    </w:p>
    <w:p w:rsidR="00004B3E" w:rsidRDefault="009E6654">
      <w:pPr>
        <w:pStyle w:val="a8"/>
        <w:jc w:val="both"/>
        <w:rPr>
          <w:sz w:val="28"/>
        </w:rPr>
      </w:pPr>
      <w:r>
        <w:rPr>
          <w:sz w:val="28"/>
        </w:rPr>
        <w:tab/>
        <w:t xml:space="preserve">Во время проведения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 мы приглашаем школьников пройти </w:t>
      </w:r>
      <w:proofErr w:type="spellStart"/>
      <w:r>
        <w:rPr>
          <w:sz w:val="28"/>
        </w:rPr>
        <w:t>профориентационное</w:t>
      </w:r>
      <w:proofErr w:type="spellEnd"/>
      <w:r>
        <w:rPr>
          <w:sz w:val="28"/>
        </w:rPr>
        <w:t xml:space="preserve"> тестирование в Центре занятости населения, которое может помочь подросткам выявить интересы, способности и черты характера, выбрать  будущую профессию, определиться с выбором вуза и специальности и определить пути дальнейшего профессионального  развития. Услуга предоставляется абсолютно бесплатно! В 2020 этом году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связи со сложившейся ситуацией в стране все тестирования и анкетирования проходят дистанционно на общероссийском портале "Работа в России"</w:t>
      </w:r>
    </w:p>
    <w:p w:rsidR="00004B3E" w:rsidRDefault="009E6654">
      <w:pPr>
        <w:pStyle w:val="a8"/>
        <w:jc w:val="both"/>
        <w:rPr>
          <w:sz w:val="28"/>
        </w:rPr>
      </w:pPr>
      <w:r>
        <w:rPr>
          <w:sz w:val="28"/>
        </w:rPr>
        <w:t xml:space="preserve">В 2020 году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услуги оказаны  50 подросткам.</w:t>
      </w:r>
    </w:p>
    <w:p w:rsidR="00004B3E" w:rsidRDefault="009E6654">
      <w:pPr>
        <w:pStyle w:val="a8"/>
        <w:jc w:val="both"/>
      </w:pPr>
      <w:r>
        <w:tab/>
      </w:r>
      <w:r>
        <w:rPr>
          <w:sz w:val="28"/>
        </w:rPr>
        <w:t>Другим важнейшим направлением активной политики занятости в отношении  подростков является организация временного трудоустройства несовершеннолетних граждан в возрасте от 14 до 18 лет в свободное от учёбы время. Временная занятость позволяет решать не только материальные проблемы подростков, поддержать доходы  малоимущих семей, снизить социальную напряжённость в подростковой среде, но и способствует профилактике безнадзорности и правонарушений, особенно в летнее время. Немаловажным является и тот факт, что трудоустраиваясь на временную работу, подросток получает возможность получения профессиональных навыков и социальную адаптацию на рынке труда.</w:t>
      </w:r>
    </w:p>
    <w:p w:rsidR="00004B3E" w:rsidRDefault="009E6654">
      <w:pPr>
        <w:pStyle w:val="a8"/>
        <w:jc w:val="both"/>
      </w:pPr>
      <w:r>
        <w:tab/>
      </w:r>
      <w:r>
        <w:rPr>
          <w:sz w:val="28"/>
        </w:rPr>
        <w:t>В приоритетном порядке трудоустраиваем несовершеннолетних граждан, находящихся в трудной жизненной ситуации, из многодетных и малообеспеченных семей, из семей безработных граждан, из числа сирот и оставшихся без попечения родителей.</w:t>
      </w:r>
    </w:p>
    <w:p w:rsidR="00004B3E" w:rsidRDefault="009E6654">
      <w:pPr>
        <w:pStyle w:val="a8"/>
        <w:jc w:val="both"/>
      </w:pPr>
      <w:r>
        <w:tab/>
      </w:r>
      <w:r>
        <w:rPr>
          <w:sz w:val="28"/>
        </w:rPr>
        <w:t>В рамках районной программы «Содействие занятости населения Конышевского района» в 2</w:t>
      </w:r>
      <w:r w:rsidR="00FF6741">
        <w:rPr>
          <w:sz w:val="28"/>
        </w:rPr>
        <w:t>020 г. было трудоустроено 37</w:t>
      </w:r>
      <w:r>
        <w:rPr>
          <w:sz w:val="28"/>
        </w:rPr>
        <w:t xml:space="preserve">  подростков, в том числе 1 подросток, находящийся в тяжелой жизненной ситуации.</w:t>
      </w:r>
    </w:p>
    <w:p w:rsidR="00004B3E" w:rsidRDefault="009E6654">
      <w:pPr>
        <w:pStyle w:val="Textbody"/>
        <w:widowControl/>
        <w:spacing w:after="0"/>
        <w:jc w:val="both"/>
      </w:pPr>
      <w:r>
        <w:tab/>
      </w:r>
      <w:r>
        <w:rPr>
          <w:color w:val="393636"/>
          <w:sz w:val="28"/>
        </w:rPr>
        <w:t xml:space="preserve">  </w:t>
      </w:r>
      <w:r>
        <w:rPr>
          <w:sz w:val="28"/>
        </w:rPr>
        <w:t xml:space="preserve">Работы, организуемые для несовершеннолетних граждан, имеют социально-полезную направленность, а именно:  благоустройство  территории </w:t>
      </w:r>
      <w:r>
        <w:rPr>
          <w:sz w:val="28"/>
        </w:rPr>
        <w:lastRenderedPageBreak/>
        <w:t>школ, пришкольных  территорий, парков, скверов, оказание социальных услуг ветеранам войны и труда, благоустройство памятников, братских могил.</w:t>
      </w:r>
    </w:p>
    <w:p w:rsidR="00004B3E" w:rsidRDefault="009E6654">
      <w:pPr>
        <w:pStyle w:val="Textbody"/>
        <w:widowControl/>
        <w:spacing w:after="0"/>
        <w:jc w:val="both"/>
      </w:pPr>
      <w:r>
        <w:rPr>
          <w:sz w:val="28"/>
        </w:rPr>
        <w:t> </w:t>
      </w:r>
    </w:p>
    <w:p w:rsidR="00004B3E" w:rsidRDefault="009E6654">
      <w:pPr>
        <w:pStyle w:val="Textbody"/>
        <w:widowControl/>
        <w:spacing w:after="0"/>
        <w:jc w:val="both"/>
      </w:pPr>
      <w:r>
        <w:rPr>
          <w:color w:val="4D4E4C"/>
          <w:sz w:val="28"/>
        </w:rPr>
        <w:t xml:space="preserve">      </w:t>
      </w:r>
      <w:r>
        <w:tab/>
      </w:r>
      <w:r>
        <w:rPr>
          <w:sz w:val="28"/>
        </w:rPr>
        <w:t xml:space="preserve">Работа по  трудоустройству подростков ведется в тесном взаимодействии с администрацией района. Работа администрации направлена на привлечение работодателей к участию в организации занятости несовершеннолетних. Для этих целей в бюджете района предусматриваются ассигнования на предоставление субсидий работодателям, на возмещение части затрат, связанных с выплатой заработной платы трудоустроенным подросткам в свободное от учебы время. Ежегодно на данные цели выделяется 16,0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</w:t>
      </w:r>
    </w:p>
    <w:p w:rsidR="00004B3E" w:rsidRDefault="009E6654">
      <w:pPr>
        <w:pStyle w:val="Textbody"/>
        <w:widowControl/>
        <w:spacing w:before="150" w:after="150"/>
        <w:ind w:left="150" w:right="75"/>
        <w:jc w:val="both"/>
        <w:rPr>
          <w:color w:val="794F35"/>
          <w:sz w:val="28"/>
        </w:rPr>
      </w:pPr>
      <w:r>
        <w:rPr>
          <w:sz w:val="28"/>
        </w:rPr>
        <w:t xml:space="preserve">Из средств областного бюджета участникам временных работ выделено  в 2020г. 13,7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 xml:space="preserve">. материальной поддержки, которая составляет 2250 руб. в месяц на одного человека. Заработная плата выплачивается  работодателями не ниже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 xml:space="preserve">.   </w:t>
      </w:r>
    </w:p>
    <w:p w:rsidR="00004B3E" w:rsidRDefault="009E6654">
      <w:pPr>
        <w:pStyle w:val="Textbody"/>
        <w:widowControl/>
        <w:spacing w:before="150" w:after="150"/>
        <w:ind w:left="150" w:right="75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Временные рабочие места для трудоустройства несовершеннолетних граждан в возрасте от 14 до 18 лет в свободное от учебы время организуются на основании договоров о совместной деятельности, заключаемых Центром занятости населения с работодателями. </w:t>
      </w:r>
      <w:r>
        <w:rPr>
          <w:sz w:val="28"/>
        </w:rPr>
        <w:tab/>
        <w:t>Условия договора определяют количество организуемых рабочих мест и численность участников, место проведения и характер работ, сроки начала и окончания работ, условия оплаты труда, требования по обеспечению норм и правил охраны труда.</w:t>
      </w:r>
    </w:p>
    <w:p w:rsidR="00004B3E" w:rsidRDefault="009E6654">
      <w:pPr>
        <w:pStyle w:val="a8"/>
        <w:jc w:val="both"/>
      </w:pPr>
      <w:r>
        <w:t> </w:t>
      </w:r>
      <w:r>
        <w:tab/>
        <w:t xml:space="preserve"> </w:t>
      </w:r>
      <w:r>
        <w:rPr>
          <w:sz w:val="28"/>
        </w:rPr>
        <w:t>При трудоустройстве работодатель заключает с несовершеннолетними гражданами в возрасте от 14 до 18 лет срочные </w:t>
      </w:r>
      <w:hyperlink r:id="rId5" w:history="1">
        <w:r>
          <w:rPr>
            <w:color w:val="743399"/>
            <w:sz w:val="28"/>
            <w:u w:val="single" w:color="000080"/>
          </w:rPr>
          <w:t>трудовые договоры</w:t>
        </w:r>
      </w:hyperlink>
      <w:r>
        <w:rPr>
          <w:sz w:val="28"/>
        </w:rPr>
        <w:t> и предоставляет в Центр занятости их копии, копии приказов о приеме на работу. На участников мероприятия распространяется </w:t>
      </w:r>
      <w:hyperlink r:id="rId6" w:history="1">
        <w:r>
          <w:rPr>
            <w:color w:val="743399"/>
            <w:sz w:val="28"/>
            <w:u w:val="single" w:color="000080"/>
          </w:rPr>
          <w:t>законодательство Российской Федерации</w:t>
        </w:r>
      </w:hyperlink>
      <w:r>
        <w:rPr>
          <w:sz w:val="28"/>
        </w:rPr>
        <w:t> о труде и  социальном страховании.</w:t>
      </w:r>
    </w:p>
    <w:p w:rsidR="00004B3E" w:rsidRDefault="009E6654">
      <w:pPr>
        <w:pStyle w:val="a8"/>
        <w:jc w:val="both"/>
      </w:pPr>
      <w:r>
        <w:rPr>
          <w:sz w:val="28"/>
        </w:rPr>
        <w:t>Оплата труда несовершеннолетних граждан, трудоустроенных по направлению органов службы занятости населения, производится в соответствии с Трудовым кодексом РФ. На основании заключенных договоров работодатель производит выплату </w:t>
      </w:r>
      <w:hyperlink r:id="rId7" w:history="1">
        <w:r>
          <w:rPr>
            <w:color w:val="743399"/>
            <w:sz w:val="28"/>
            <w:u w:val="single" w:color="000080"/>
          </w:rPr>
          <w:t>заработной платы</w:t>
        </w:r>
      </w:hyperlink>
      <w:r>
        <w:rPr>
          <w:sz w:val="28"/>
        </w:rPr>
        <w:t xml:space="preserve"> не ниже установленного федеральным законом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 xml:space="preserve"> согласно фактически отработанного времени.</w:t>
      </w:r>
    </w:p>
    <w:p w:rsidR="00004B3E" w:rsidRDefault="009E6654">
      <w:pPr>
        <w:pStyle w:val="a8"/>
        <w:jc w:val="both"/>
      </w:pPr>
      <w:r>
        <w:tab/>
      </w:r>
      <w:r>
        <w:rPr>
          <w:sz w:val="28"/>
        </w:rPr>
        <w:t xml:space="preserve">Сложности в трудоустройстве подростков, прежде всего, связаны с тем, что у работодателей не достаточно средств на </w:t>
      </w:r>
      <w:proofErr w:type="spellStart"/>
      <w:r>
        <w:rPr>
          <w:sz w:val="28"/>
        </w:rPr>
        <w:t>софинансирование</w:t>
      </w:r>
      <w:proofErr w:type="spellEnd"/>
      <w:r>
        <w:rPr>
          <w:sz w:val="28"/>
        </w:rPr>
        <w:t xml:space="preserve"> временной занятости подростков, также нежелание работодателей официально оформлять детей, создавать специальные условия труда, что объясняется и неквалифицированным детским трудом, и сложной системой отчетности предприятия за принятых на временные работы подростков в налоговые органы, пенсионный фонд.</w:t>
      </w:r>
    </w:p>
    <w:p w:rsidR="00004B3E" w:rsidRDefault="009E6654">
      <w:pPr>
        <w:pStyle w:val="a8"/>
        <w:jc w:val="both"/>
      </w:pPr>
      <w:r>
        <w:tab/>
      </w:r>
      <w:r>
        <w:rPr>
          <w:sz w:val="28"/>
        </w:rPr>
        <w:t xml:space="preserve">Постоянно осуществляется информирование несовершеннолетних о мероприятиях, проводимых службой занятости посредством районной газеты «Трибуна», информационных материалов, расположенных на информационных стендах центра занятости, на региональных общедоступных информационных </w:t>
      </w:r>
      <w:r>
        <w:rPr>
          <w:sz w:val="28"/>
        </w:rPr>
        <w:lastRenderedPageBreak/>
        <w:t>ресурсах</w:t>
      </w:r>
    </w:p>
    <w:p w:rsidR="00004B3E" w:rsidRDefault="009E6654">
      <w:pPr>
        <w:pStyle w:val="a8"/>
        <w:jc w:val="both"/>
        <w:rPr>
          <w:sz w:val="28"/>
        </w:rPr>
      </w:pPr>
      <w:r>
        <w:tab/>
      </w:r>
      <w:r>
        <w:rPr>
          <w:sz w:val="28"/>
        </w:rPr>
        <w:t>В целях реализации Закона Курской области от 31.10.2007 г. № 111-ЗКО «О квотировании рабочих мест для отдельных категорий молодежи в Курской области» в 2020 г. с работодателями заключено 2 договора о квотировании 8 рабочих мест.</w:t>
      </w:r>
    </w:p>
    <w:p w:rsidR="00F128C2" w:rsidRDefault="00F128C2">
      <w:pPr>
        <w:pStyle w:val="a8"/>
        <w:jc w:val="both"/>
      </w:pPr>
      <w:r>
        <w:rPr>
          <w:sz w:val="28"/>
        </w:rPr>
        <w:tab/>
        <w:t>Работа по данному направлению будет продолжена в 2021 год</w:t>
      </w:r>
      <w:r w:rsidR="0058600F">
        <w:rPr>
          <w:sz w:val="28"/>
        </w:rPr>
        <w:t>у</w:t>
      </w:r>
      <w:r>
        <w:rPr>
          <w:sz w:val="28"/>
        </w:rPr>
        <w:t>. Приглашаем несовершеннолетних и потенциальных работодателей к плодотворному сотрудничеству</w:t>
      </w:r>
      <w:r w:rsidR="0058600F">
        <w:rPr>
          <w:sz w:val="28"/>
        </w:rPr>
        <w:t>!</w:t>
      </w:r>
    </w:p>
    <w:p w:rsidR="00004B3E" w:rsidRDefault="00004B3E">
      <w:pPr>
        <w:pStyle w:val="a8"/>
        <w:jc w:val="both"/>
      </w:pPr>
    </w:p>
    <w:p w:rsidR="00004B3E" w:rsidRDefault="00004B3E">
      <w:pPr>
        <w:pStyle w:val="a8"/>
        <w:jc w:val="both"/>
      </w:pPr>
    </w:p>
    <w:p w:rsidR="00004B3E" w:rsidRDefault="00004B3E">
      <w:pPr>
        <w:pStyle w:val="a8"/>
        <w:jc w:val="both"/>
      </w:pPr>
    </w:p>
    <w:p w:rsidR="00004B3E" w:rsidRDefault="009E6654">
      <w:pPr>
        <w:pStyle w:val="a8"/>
        <w:jc w:val="both"/>
        <w:rPr>
          <w:sz w:val="28"/>
        </w:rPr>
      </w:pPr>
      <w:r>
        <w:rPr>
          <w:sz w:val="28"/>
        </w:rPr>
        <w:t>Директор ОКУ</w:t>
      </w:r>
      <w:proofErr w:type="gramStart"/>
      <w:r>
        <w:rPr>
          <w:sz w:val="28"/>
        </w:rPr>
        <w:t>"Ц</w:t>
      </w:r>
      <w:proofErr w:type="gramEnd"/>
      <w:r>
        <w:rPr>
          <w:sz w:val="28"/>
        </w:rPr>
        <w:t>ЗН Конышевского района"                               Афоничева М.В.</w:t>
      </w:r>
    </w:p>
    <w:sectPr w:rsidR="00004B3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3E"/>
    <w:rsid w:val="00004B3E"/>
    <w:rsid w:val="0058600F"/>
    <w:rsid w:val="009E6654"/>
    <w:rsid w:val="00DB232E"/>
    <w:rsid w:val="00F128C2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2"/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0">
    <w:name w:val="heading 2"/>
    <w:basedOn w:val="a0"/>
    <w:next w:val="Textbody"/>
    <w:link w:val="21"/>
    <w:uiPriority w:val="9"/>
    <w:qFormat/>
    <w:pPr>
      <w:outlineLvl w:val="1"/>
    </w:pPr>
    <w:rPr>
      <w:b/>
      <w:sz w:val="3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styleId="22">
    <w:name w:val="toc 2"/>
    <w:link w:val="23"/>
    <w:uiPriority w:val="39"/>
    <w:pPr>
      <w:ind w:left="200"/>
    </w:pPr>
  </w:style>
  <w:style w:type="character" w:customStyle="1" w:styleId="23">
    <w:name w:val="Оглавление 2 Знак"/>
    <w:link w:val="22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</w:rPr>
  </w:style>
  <w:style w:type="paragraph" w:customStyle="1" w:styleId="a4">
    <w:name w:val="Нижний колонтитул Знак"/>
    <w:basedOn w:val="12"/>
    <w:link w:val="a5"/>
  </w:style>
  <w:style w:type="character" w:customStyle="1" w:styleId="a5">
    <w:name w:val="Нижний колонтитул Знак"/>
    <w:basedOn w:val="a1"/>
    <w:link w:val="a4"/>
  </w:style>
  <w:style w:type="character" w:customStyle="1" w:styleId="2">
    <w:name w:val="Обычный2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6">
    <w:name w:val="List"/>
    <w:basedOn w:val="Textbody"/>
    <w:link w:val="a7"/>
  </w:style>
  <w:style w:type="character" w:customStyle="1" w:styleId="a7">
    <w:name w:val="Список Знак"/>
    <w:basedOn w:val="Textbody0"/>
    <w:link w:val="a6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8">
    <w:name w:val="No Spacing"/>
    <w:link w:val="a9"/>
  </w:style>
  <w:style w:type="character" w:customStyle="1" w:styleId="a9">
    <w:name w:val="Без интервала Знак"/>
    <w:link w:val="a8"/>
  </w:style>
  <w:style w:type="paragraph" w:customStyle="1" w:styleId="TableContents">
    <w:name w:val="Table Contents"/>
    <w:basedOn w:val="a"/>
    <w:link w:val="TableContents0"/>
  </w:style>
  <w:style w:type="character" w:customStyle="1" w:styleId="TableContents0">
    <w:name w:val="Table Contents"/>
    <w:basedOn w:val="11"/>
    <w:link w:val="TableContents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a">
    <w:name w:val="Верхний колонтитул Знак"/>
    <w:basedOn w:val="12"/>
    <w:link w:val="ab"/>
  </w:style>
  <w:style w:type="character" w:customStyle="1" w:styleId="ab">
    <w:name w:val="Верхний колонтитул Знак"/>
    <w:basedOn w:val="a1"/>
    <w:link w:val="aa"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link w:val="ac"/>
    <w:rPr>
      <w:color w:val="000080"/>
      <w:u w:val="single" w:color="000080"/>
    </w:rPr>
  </w:style>
  <w:style w:type="character" w:styleId="ac">
    <w:name w:val="Hyperlink"/>
    <w:link w:val="13"/>
    <w:rPr>
      <w:color w:val="000080"/>
      <w:u w:val="single" w:color="000080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d">
    <w:name w:val="foot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2"/>
    <w:link w:val="ad"/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7">
    <w:name w:val="Выделение1"/>
    <w:link w:val="ae"/>
    <w:rPr>
      <w:i/>
    </w:rPr>
  </w:style>
  <w:style w:type="character" w:styleId="ae">
    <w:name w:val="Emphasis"/>
    <w:link w:val="17"/>
    <w:rPr>
      <w:i/>
    </w:rPr>
  </w:style>
  <w:style w:type="paragraph" w:customStyle="1" w:styleId="12">
    <w:name w:val="Основной шрифт абзаца1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0">
    <w:name w:val="caption"/>
    <w:basedOn w:val="a"/>
    <w:link w:val="af"/>
    <w:pPr>
      <w:spacing w:before="120" w:after="120"/>
    </w:pPr>
    <w:rPr>
      <w:i/>
    </w:rPr>
  </w:style>
  <w:style w:type="character" w:customStyle="1" w:styleId="af">
    <w:name w:val="Название объекта Знак"/>
    <w:basedOn w:val="11"/>
    <w:link w:val="a0"/>
    <w:rPr>
      <w:i/>
    </w:rPr>
  </w:style>
  <w:style w:type="paragraph" w:styleId="af0">
    <w:name w:val="Subtitle"/>
    <w:basedOn w:val="a0"/>
    <w:next w:val="Textbody"/>
    <w:link w:val="af1"/>
    <w:uiPriority w:val="11"/>
    <w:qFormat/>
    <w:pPr>
      <w:jc w:val="center"/>
    </w:pPr>
  </w:style>
  <w:style w:type="character" w:customStyle="1" w:styleId="af1">
    <w:name w:val="Подзаголовок Знак"/>
    <w:basedOn w:val="af"/>
    <w:link w:val="af0"/>
    <w:rPr>
      <w:i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1"/>
    <w:link w:val="Index"/>
  </w:style>
  <w:style w:type="paragraph" w:customStyle="1" w:styleId="Textbody">
    <w:name w:val="Text body"/>
    <w:basedOn w:val="a"/>
    <w:link w:val="Textbody0"/>
    <w:pPr>
      <w:spacing w:after="120"/>
    </w:pPr>
  </w:style>
  <w:style w:type="character" w:customStyle="1" w:styleId="Textbody0">
    <w:name w:val="Text body"/>
    <w:basedOn w:val="11"/>
    <w:link w:val="Textbody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basedOn w:val="a"/>
    <w:next w:val="Textbody"/>
    <w:link w:val="af3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3">
    <w:name w:val="Название Знак"/>
    <w:basedOn w:val="11"/>
    <w:link w:val="af2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4">
    <w:name w:val="header"/>
    <w:basedOn w:val="a"/>
    <w:link w:val="18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2"/>
    <w:link w:val="af4"/>
  </w:style>
  <w:style w:type="paragraph" w:customStyle="1" w:styleId="StrongEmphasis">
    <w:name w:val="Strong Emphasis"/>
    <w:link w:val="StrongEmphasis0"/>
    <w:rPr>
      <w:b/>
    </w:rPr>
  </w:style>
  <w:style w:type="character" w:customStyle="1" w:styleId="StrongEmphasis0">
    <w:name w:val="Strong Emphasis"/>
    <w:link w:val="StrongEmphasis"/>
    <w:rPr>
      <w:b/>
    </w:rPr>
  </w:style>
  <w:style w:type="character" w:customStyle="1" w:styleId="21">
    <w:name w:val="Заголовок 2 Знак"/>
    <w:basedOn w:val="af"/>
    <w:link w:val="20"/>
    <w:rPr>
      <w:rFonts w:ascii="Times New Roman" w:hAnsi="Times New Roman"/>
      <w:b/>
      <w:i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2"/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0">
    <w:name w:val="heading 2"/>
    <w:basedOn w:val="a0"/>
    <w:next w:val="Textbody"/>
    <w:link w:val="21"/>
    <w:uiPriority w:val="9"/>
    <w:qFormat/>
    <w:pPr>
      <w:outlineLvl w:val="1"/>
    </w:pPr>
    <w:rPr>
      <w:b/>
      <w:sz w:val="3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styleId="22">
    <w:name w:val="toc 2"/>
    <w:link w:val="23"/>
    <w:uiPriority w:val="39"/>
    <w:pPr>
      <w:ind w:left="200"/>
    </w:pPr>
  </w:style>
  <w:style w:type="character" w:customStyle="1" w:styleId="23">
    <w:name w:val="Оглавление 2 Знак"/>
    <w:link w:val="22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</w:rPr>
  </w:style>
  <w:style w:type="paragraph" w:customStyle="1" w:styleId="a4">
    <w:name w:val="Нижний колонтитул Знак"/>
    <w:basedOn w:val="12"/>
    <w:link w:val="a5"/>
  </w:style>
  <w:style w:type="character" w:customStyle="1" w:styleId="a5">
    <w:name w:val="Нижний колонтитул Знак"/>
    <w:basedOn w:val="a1"/>
    <w:link w:val="a4"/>
  </w:style>
  <w:style w:type="character" w:customStyle="1" w:styleId="2">
    <w:name w:val="Обычный2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6">
    <w:name w:val="List"/>
    <w:basedOn w:val="Textbody"/>
    <w:link w:val="a7"/>
  </w:style>
  <w:style w:type="character" w:customStyle="1" w:styleId="a7">
    <w:name w:val="Список Знак"/>
    <w:basedOn w:val="Textbody0"/>
    <w:link w:val="a6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8">
    <w:name w:val="No Spacing"/>
    <w:link w:val="a9"/>
  </w:style>
  <w:style w:type="character" w:customStyle="1" w:styleId="a9">
    <w:name w:val="Без интервала Знак"/>
    <w:link w:val="a8"/>
  </w:style>
  <w:style w:type="paragraph" w:customStyle="1" w:styleId="TableContents">
    <w:name w:val="Table Contents"/>
    <w:basedOn w:val="a"/>
    <w:link w:val="TableContents0"/>
  </w:style>
  <w:style w:type="character" w:customStyle="1" w:styleId="TableContents0">
    <w:name w:val="Table Contents"/>
    <w:basedOn w:val="11"/>
    <w:link w:val="TableContents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a">
    <w:name w:val="Верхний колонтитул Знак"/>
    <w:basedOn w:val="12"/>
    <w:link w:val="ab"/>
  </w:style>
  <w:style w:type="character" w:customStyle="1" w:styleId="ab">
    <w:name w:val="Верхний колонтитул Знак"/>
    <w:basedOn w:val="a1"/>
    <w:link w:val="aa"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link w:val="ac"/>
    <w:rPr>
      <w:color w:val="000080"/>
      <w:u w:val="single" w:color="000080"/>
    </w:rPr>
  </w:style>
  <w:style w:type="character" w:styleId="ac">
    <w:name w:val="Hyperlink"/>
    <w:link w:val="13"/>
    <w:rPr>
      <w:color w:val="000080"/>
      <w:u w:val="single" w:color="000080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d">
    <w:name w:val="foot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2"/>
    <w:link w:val="ad"/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7">
    <w:name w:val="Выделение1"/>
    <w:link w:val="ae"/>
    <w:rPr>
      <w:i/>
    </w:rPr>
  </w:style>
  <w:style w:type="character" w:styleId="ae">
    <w:name w:val="Emphasis"/>
    <w:link w:val="17"/>
    <w:rPr>
      <w:i/>
    </w:rPr>
  </w:style>
  <w:style w:type="paragraph" w:customStyle="1" w:styleId="12">
    <w:name w:val="Основной шрифт абзаца1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0">
    <w:name w:val="caption"/>
    <w:basedOn w:val="a"/>
    <w:link w:val="af"/>
    <w:pPr>
      <w:spacing w:before="120" w:after="120"/>
    </w:pPr>
    <w:rPr>
      <w:i/>
    </w:rPr>
  </w:style>
  <w:style w:type="character" w:customStyle="1" w:styleId="af">
    <w:name w:val="Название объекта Знак"/>
    <w:basedOn w:val="11"/>
    <w:link w:val="a0"/>
    <w:rPr>
      <w:i/>
    </w:rPr>
  </w:style>
  <w:style w:type="paragraph" w:styleId="af0">
    <w:name w:val="Subtitle"/>
    <w:basedOn w:val="a0"/>
    <w:next w:val="Textbody"/>
    <w:link w:val="af1"/>
    <w:uiPriority w:val="11"/>
    <w:qFormat/>
    <w:pPr>
      <w:jc w:val="center"/>
    </w:pPr>
  </w:style>
  <w:style w:type="character" w:customStyle="1" w:styleId="af1">
    <w:name w:val="Подзаголовок Знак"/>
    <w:basedOn w:val="af"/>
    <w:link w:val="af0"/>
    <w:rPr>
      <w:i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1"/>
    <w:link w:val="Index"/>
  </w:style>
  <w:style w:type="paragraph" w:customStyle="1" w:styleId="Textbody">
    <w:name w:val="Text body"/>
    <w:basedOn w:val="a"/>
    <w:link w:val="Textbody0"/>
    <w:pPr>
      <w:spacing w:after="120"/>
    </w:pPr>
  </w:style>
  <w:style w:type="character" w:customStyle="1" w:styleId="Textbody0">
    <w:name w:val="Text body"/>
    <w:basedOn w:val="11"/>
    <w:link w:val="Textbody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basedOn w:val="a"/>
    <w:next w:val="Textbody"/>
    <w:link w:val="af3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3">
    <w:name w:val="Название Знак"/>
    <w:basedOn w:val="11"/>
    <w:link w:val="af2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4">
    <w:name w:val="header"/>
    <w:basedOn w:val="a"/>
    <w:link w:val="18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2"/>
    <w:link w:val="af4"/>
  </w:style>
  <w:style w:type="paragraph" w:customStyle="1" w:styleId="StrongEmphasis">
    <w:name w:val="Strong Emphasis"/>
    <w:link w:val="StrongEmphasis0"/>
    <w:rPr>
      <w:b/>
    </w:rPr>
  </w:style>
  <w:style w:type="character" w:customStyle="1" w:styleId="StrongEmphasis0">
    <w:name w:val="Strong Emphasis"/>
    <w:link w:val="StrongEmphasis"/>
    <w:rPr>
      <w:b/>
    </w:rPr>
  </w:style>
  <w:style w:type="character" w:customStyle="1" w:styleId="21">
    <w:name w:val="Заголовок 2 Знак"/>
    <w:basedOn w:val="af"/>
    <w:link w:val="20"/>
    <w:rPr>
      <w:rFonts w:ascii="Times New Roman" w:hAnsi="Times New Roman"/>
      <w:b/>
      <w:i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arabotnaya_plat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dogovor_trudovoj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Алфимова</cp:lastModifiedBy>
  <cp:revision>2</cp:revision>
  <cp:lastPrinted>2020-12-29T06:30:00Z</cp:lastPrinted>
  <dcterms:created xsi:type="dcterms:W3CDTF">2020-12-29T06:46:00Z</dcterms:created>
  <dcterms:modified xsi:type="dcterms:W3CDTF">2020-12-29T06:46:00Z</dcterms:modified>
</cp:coreProperties>
</file>