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162" w:h="10607" w:hRule="exact" w:wrap="none" w:vAnchor="page" w:hAnchor="page" w:x="719" w:y="1333"/>
        <w:widowControl w:val="0"/>
        <w:keepNext w:val="0"/>
        <w:keepLines w:val="0"/>
        <w:shd w:val="clear" w:color="auto" w:fill="auto"/>
        <w:bidi w:val="0"/>
        <w:spacing w:before="0" w:after="244"/>
        <w:ind w:left="7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к письму «09» апреля 2019г.</w:t>
      </w:r>
    </w:p>
    <w:p>
      <w:pPr>
        <w:pStyle w:val="Style3"/>
        <w:framePr w:w="10162" w:h="10607" w:hRule="exact" w:wrap="none" w:vAnchor="page" w:hAnchor="page" w:x="719" w:y="133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ФБУЗ «Центр гигиены и эпидемиологии в Курской области» в рамках открытой горячей линии проводит тематическое консультирование населения по актуальным по вопросам качества услуг, в т.ч.: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требованиях качества и безопасности продукции общественного питания;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2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требованиях к предприятиям общественного питания;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2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по вопросам здорового питания;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оформление претензии в адрес предприятия реализующего продукцию общественного питанйя.</w:t>
      </w:r>
    </w:p>
    <w:p>
      <w:pPr>
        <w:pStyle w:val="Style3"/>
        <w:framePr w:w="10162" w:h="10607" w:hRule="exact" w:wrap="none" w:vAnchor="page" w:hAnchor="page" w:x="719" w:y="1333"/>
        <w:widowControl w:val="0"/>
        <w:keepNext w:val="0"/>
        <w:keepLines w:val="0"/>
        <w:shd w:val="clear" w:color="auto" w:fill="auto"/>
        <w:bidi w:val="0"/>
        <w:jc w:val="both"/>
        <w:spacing w:before="0" w:after="236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Тематическое консультирование будет проводиться по 28 апреля 2019 г. в рабочие дни с 9:00 до 17:00 (перерыв с 13:00 до 14:00) по телефонам: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 (4712) 52-10-27, 70-14-36 или 22-33-01 г. Курск, ул. Почтовая, 3, адрес электронной почты </w:t>
      </w:r>
      <w:r>
        <w:fldChar w:fldCharType="begin"/>
      </w:r>
      <w:r>
        <w:rPr>
          <w:color w:val="000000"/>
        </w:rPr>
        <w:instrText> HYPERLINK "mailto:cge@kilrsktelecom.ru"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cge@kilrsktelecom.ru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,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32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 (471-43) 2-18-39, г. Суджа, ул. К. Либкнехта, 34, адрес электронной почты </w:t>
      </w:r>
      <w:r>
        <w:fldChar w:fldCharType="begin"/>
      </w:r>
      <w:r>
        <w:rPr>
          <w:color w:val="000000"/>
        </w:rPr>
        <w:instrText> HYPERLINK "mailto:Gigiena_Sudza@mail.ru"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Gigiena_Sudza@mail.ru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,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line="33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 (471-48) 3-17-04, г. Железногорск, ул. Гагарина, д. 31/2. адрес электронной почты </w:t>
      </w:r>
      <w:r>
        <w:rPr>
          <w:lang w:val="en-US" w:eastAsia="en-US" w:bidi="en-US"/>
          <w:w w:val="100"/>
          <w:spacing w:val="0"/>
          <w:color w:val="000000"/>
          <w:position w:val="0"/>
        </w:rPr>
        <w:t>ses.filial @mail.ru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336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 (471-40) 2-31-32, г. Льгов, ул. М. Горького, д. 9,адрес электронной почты </w:t>
      </w:r>
      <w:r>
        <w:fldChar w:fldCharType="begin"/>
      </w:r>
      <w:r>
        <w:rPr>
          <w:color w:val="000000"/>
        </w:rPr>
        <w:instrText> HYPERLINK "mailto:cgsn_lgov@mail.ru"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cgsn_lgov@mail.ru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>,</w:t>
      </w:r>
    </w:p>
    <w:p>
      <w:pPr>
        <w:pStyle w:val="Style3"/>
        <w:numPr>
          <w:ilvl w:val="0"/>
          <w:numId w:val="1"/>
        </w:numPr>
        <w:framePr w:w="10162" w:h="10607" w:hRule="exact" w:wrap="none" w:vAnchor="page" w:hAnchor="page" w:x="719" w:y="1333"/>
        <w:tabs>
          <w:tab w:leader="none" w:pos="9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8 (471-45) 4-20-65, г. Щигры, ул. Красная, д. 81, адрес электронной почты </w:t>
      </w:r>
      <w:r>
        <w:fldChar w:fldCharType="begin"/>
      </w:r>
      <w:r>
        <w:rPr>
          <w:color w:val="000000"/>
        </w:rPr>
        <w:instrText> HYPERLINK "mailto:Mitrakova_IS@46.rospotrebnadzor.ru"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Mitrakova_IS@46.rospotrebnadzor.ru</w:t>
      </w:r>
      <w:r>
        <w:fldChar w:fldCharType="end"/>
      </w:r>
    </w:p>
    <w:p>
      <w:pPr>
        <w:pStyle w:val="Style3"/>
        <w:framePr w:w="10162" w:h="10607" w:hRule="exact" w:wrap="none" w:vAnchor="page" w:hAnchor="page" w:x="719" w:y="133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8 800-555-49-43 (звонок бесплатный).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24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