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FA" w:rsidRPr="005F15FA" w:rsidRDefault="005F15FA" w:rsidP="005F15FA">
      <w:pPr>
        <w:jc w:val="center"/>
        <w:rPr>
          <w:sz w:val="28"/>
          <w:szCs w:val="28"/>
        </w:rPr>
      </w:pPr>
      <w:r w:rsidRPr="005F15FA">
        <w:rPr>
          <w:b/>
          <w:bCs/>
          <w:sz w:val="28"/>
          <w:szCs w:val="28"/>
        </w:rPr>
        <w:t>Уважаемые работодатели!</w:t>
      </w:r>
    </w:p>
    <w:p w:rsidR="005F15FA" w:rsidRPr="005F15FA" w:rsidRDefault="005F15FA" w:rsidP="005F15FA">
      <w:pPr>
        <w:ind w:firstLine="567"/>
        <w:jc w:val="both"/>
        <w:rPr>
          <w:sz w:val="28"/>
          <w:szCs w:val="28"/>
        </w:rPr>
      </w:pPr>
      <w:r w:rsidRPr="005F15FA">
        <w:rPr>
          <w:sz w:val="28"/>
          <w:szCs w:val="28"/>
        </w:rPr>
        <w:t> </w:t>
      </w:r>
    </w:p>
    <w:p w:rsidR="001E11F5" w:rsidRDefault="005F15FA" w:rsidP="005F15FA">
      <w:pPr>
        <w:jc w:val="both"/>
        <w:rPr>
          <w:sz w:val="28"/>
          <w:szCs w:val="28"/>
        </w:rPr>
      </w:pPr>
      <w:r w:rsidRPr="005F15FA">
        <w:rPr>
          <w:sz w:val="28"/>
          <w:szCs w:val="28"/>
        </w:rPr>
        <w:t xml:space="preserve">      </w:t>
      </w:r>
      <w:proofErr w:type="gramStart"/>
      <w:r w:rsidRPr="005F15FA">
        <w:rPr>
          <w:sz w:val="28"/>
          <w:szCs w:val="28"/>
        </w:rPr>
        <w:t>Информируем Вас, что</w:t>
      </w:r>
      <w:r w:rsidR="003822EA">
        <w:rPr>
          <w:sz w:val="28"/>
          <w:szCs w:val="28"/>
        </w:rPr>
        <w:t xml:space="preserve"> на</w:t>
      </w:r>
      <w:r w:rsidRPr="005F15FA">
        <w:rPr>
          <w:sz w:val="28"/>
          <w:szCs w:val="28"/>
        </w:rPr>
        <w:t xml:space="preserve"> </w:t>
      </w:r>
      <w:r w:rsidR="001E11F5">
        <w:rPr>
          <w:sz w:val="28"/>
          <w:szCs w:val="28"/>
        </w:rPr>
        <w:t xml:space="preserve"> сайте комитета по управлению имуществом Курской области</w:t>
      </w:r>
      <w:r w:rsidR="001E11F5" w:rsidRPr="001E11F5">
        <w:rPr>
          <w:sz w:val="28"/>
          <w:szCs w:val="28"/>
        </w:rPr>
        <w:t xml:space="preserve"> (</w:t>
      </w:r>
      <w:r w:rsidR="001E11F5" w:rsidRPr="001E11F5">
        <w:rPr>
          <w:sz w:val="28"/>
          <w:szCs w:val="28"/>
          <w:lang w:val="en-US"/>
        </w:rPr>
        <w:t>www</w:t>
      </w:r>
      <w:r w:rsidR="001E11F5" w:rsidRPr="001E11F5">
        <w:rPr>
          <w:sz w:val="28"/>
          <w:szCs w:val="28"/>
        </w:rPr>
        <w:t>.</w:t>
      </w:r>
      <w:proofErr w:type="spellStart"/>
      <w:r w:rsidR="001E11F5" w:rsidRPr="001E11F5">
        <w:rPr>
          <w:sz w:val="28"/>
          <w:szCs w:val="28"/>
          <w:lang w:val="en-US"/>
        </w:rPr>
        <w:t>imkursk</w:t>
      </w:r>
      <w:proofErr w:type="spellEnd"/>
      <w:r w:rsidR="001E11F5" w:rsidRPr="001E11F5">
        <w:rPr>
          <w:sz w:val="28"/>
          <w:szCs w:val="28"/>
        </w:rPr>
        <w:t>.</w:t>
      </w:r>
      <w:proofErr w:type="spellStart"/>
      <w:r w:rsidR="001E11F5" w:rsidRPr="001E11F5">
        <w:rPr>
          <w:sz w:val="28"/>
          <w:szCs w:val="28"/>
          <w:lang w:val="en-US"/>
        </w:rPr>
        <w:t>ru</w:t>
      </w:r>
      <w:proofErr w:type="spellEnd"/>
      <w:r w:rsidR="001E11F5" w:rsidRPr="001E11F5">
        <w:rPr>
          <w:sz w:val="28"/>
          <w:szCs w:val="28"/>
        </w:rPr>
        <w:t xml:space="preserve">) </w:t>
      </w:r>
      <w:r w:rsidR="001E11F5">
        <w:rPr>
          <w:sz w:val="28"/>
          <w:szCs w:val="28"/>
        </w:rPr>
        <w:t xml:space="preserve"> в разделе «Документы» в подразделе «Информация» и на официальном сайте Администрации Курской области (</w:t>
      </w:r>
      <w:r w:rsidR="001E11F5">
        <w:rPr>
          <w:sz w:val="28"/>
          <w:szCs w:val="28"/>
          <w:lang w:val="en-US"/>
        </w:rPr>
        <w:t>http</w:t>
      </w:r>
      <w:r w:rsidR="001E11F5">
        <w:rPr>
          <w:sz w:val="28"/>
          <w:szCs w:val="28"/>
        </w:rPr>
        <w:t>://</w:t>
      </w:r>
      <w:proofErr w:type="spellStart"/>
      <w:r w:rsidR="001E11F5">
        <w:rPr>
          <w:sz w:val="28"/>
          <w:szCs w:val="28"/>
          <w:lang w:val="en-US"/>
        </w:rPr>
        <w:t>adm</w:t>
      </w:r>
      <w:proofErr w:type="spellEnd"/>
      <w:r w:rsidR="003822EA" w:rsidRPr="003822EA">
        <w:rPr>
          <w:sz w:val="28"/>
          <w:szCs w:val="28"/>
        </w:rPr>
        <w:t>.</w:t>
      </w:r>
      <w:proofErr w:type="spellStart"/>
      <w:r w:rsidR="001E11F5">
        <w:rPr>
          <w:sz w:val="28"/>
          <w:szCs w:val="28"/>
          <w:lang w:val="en-US"/>
        </w:rPr>
        <w:t>rkursk</w:t>
      </w:r>
      <w:proofErr w:type="spellEnd"/>
      <w:r w:rsidR="003822EA" w:rsidRPr="003822EA">
        <w:rPr>
          <w:sz w:val="28"/>
          <w:szCs w:val="28"/>
        </w:rPr>
        <w:t>.</w:t>
      </w:r>
      <w:proofErr w:type="spellStart"/>
      <w:r w:rsidR="001E11F5">
        <w:rPr>
          <w:sz w:val="28"/>
          <w:szCs w:val="28"/>
          <w:lang w:val="en-US"/>
        </w:rPr>
        <w:t>ru</w:t>
      </w:r>
      <w:proofErr w:type="spellEnd"/>
      <w:r w:rsidR="001E11F5">
        <w:rPr>
          <w:sz w:val="28"/>
          <w:szCs w:val="28"/>
        </w:rPr>
        <w:t>) в разделе «Экономика» в подра</w:t>
      </w:r>
      <w:r w:rsidR="003822EA">
        <w:rPr>
          <w:sz w:val="28"/>
          <w:szCs w:val="28"/>
        </w:rPr>
        <w:t>з</w:t>
      </w:r>
      <w:r w:rsidR="001E11F5">
        <w:rPr>
          <w:sz w:val="28"/>
          <w:szCs w:val="28"/>
        </w:rPr>
        <w:t xml:space="preserve">деле «Государственные закупки (документы и статистика)» размещен приказ Минтруда России от 24.12.2018г. № 834н «Об утверждении </w:t>
      </w:r>
      <w:bookmarkStart w:id="0" w:name="_GoBack"/>
      <w:r w:rsidR="001E11F5">
        <w:rPr>
          <w:sz w:val="28"/>
          <w:szCs w:val="28"/>
        </w:rPr>
        <w:t>типовых контрактов на оказание услуг по проведению специальной оценки</w:t>
      </w:r>
      <w:proofErr w:type="gramEnd"/>
      <w:r w:rsidR="001E11F5">
        <w:rPr>
          <w:sz w:val="28"/>
          <w:szCs w:val="28"/>
        </w:rPr>
        <w:t xml:space="preserve"> условий труда</w:t>
      </w:r>
      <w:bookmarkEnd w:id="0"/>
      <w:r w:rsidR="001E11F5">
        <w:rPr>
          <w:sz w:val="28"/>
          <w:szCs w:val="28"/>
        </w:rPr>
        <w:t>, и обучению работодателей и работников вопросами охраны труда, а также их информационных карт.</w:t>
      </w:r>
    </w:p>
    <w:p w:rsidR="0031394A" w:rsidRPr="0031394A" w:rsidRDefault="0031394A" w:rsidP="0031394A">
      <w:pPr>
        <w:ind w:firstLine="567"/>
        <w:jc w:val="both"/>
        <w:rPr>
          <w:sz w:val="28"/>
          <w:szCs w:val="28"/>
        </w:rPr>
      </w:pPr>
    </w:p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Default="005F15FA" w:rsidP="005F15FA"/>
    <w:p w:rsidR="005F15FA" w:rsidRPr="005F15FA" w:rsidRDefault="005F15FA" w:rsidP="005F15FA"/>
    <w:p w:rsidR="005F15FA" w:rsidRPr="005F15FA" w:rsidRDefault="005F15FA" w:rsidP="005F15FA">
      <w:r w:rsidRPr="005F15FA">
        <w:t>      Подробная информация так же размещена на сайте </w:t>
      </w:r>
      <w:hyperlink r:id="rId6" w:history="1">
        <w:r w:rsidRPr="005F15FA">
          <w:rPr>
            <w:rStyle w:val="a3"/>
          </w:rPr>
          <w:t>www.arwe-expq.ru</w:t>
        </w:r>
      </w:hyperlink>
    </w:p>
    <w:p w:rsidR="005F15FA" w:rsidRPr="005F15FA" w:rsidRDefault="005F15FA" w:rsidP="005F15FA">
      <w:r w:rsidRPr="005F15FA">
        <w:t>      Контактное лицо – Соколова Оксана Александровна, начальник отдела развития акционерного общества «Электрификация», </w:t>
      </w:r>
      <w:hyperlink r:id="rId7" w:history="1">
        <w:r w:rsidRPr="005F15FA">
          <w:rPr>
            <w:rStyle w:val="a3"/>
          </w:rPr>
          <w:t>sokolova@expro-elektra.ru</w:t>
        </w:r>
      </w:hyperlink>
      <w:r w:rsidRPr="005F15FA">
        <w:t>, +7(499) 181-52-02, доб. 137.</w:t>
      </w:r>
    </w:p>
    <w:p w:rsidR="005F15FA" w:rsidRPr="005F15FA" w:rsidRDefault="005F15FA" w:rsidP="005F15FA">
      <w:r w:rsidRPr="005F15FA">
        <w:rPr>
          <w:b/>
          <w:bCs/>
          <w:noProof/>
          <w:lang w:eastAsia="ru-RU"/>
        </w:rPr>
        <w:drawing>
          <wp:inline distT="0" distB="0" distL="0" distR="0" wp14:anchorId="599FE523" wp14:editId="66264F8C">
            <wp:extent cx="5932805" cy="4191635"/>
            <wp:effectExtent l="0" t="0" r="0" b="0"/>
            <wp:docPr id="2" name="Рисунок 2" descr="http://xn----7sbaprdabc3aenhlbcyrtiv8bo1t.xn--p1ai/upload/editor/image/2224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aprdabc3aenhlbcyrtiv8bo1t.xn--p1ai/upload/editor/image/222410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FA" w:rsidRPr="005F15FA" w:rsidRDefault="005F15FA" w:rsidP="005F15FA">
      <w:r w:rsidRPr="005F15FA">
        <w:rPr>
          <w:b/>
          <w:bCs/>
        </w:rPr>
        <w:t xml:space="preserve">Трудовые права граждан </w:t>
      </w:r>
      <w:proofErr w:type="spellStart"/>
      <w:r w:rsidRPr="005F15FA">
        <w:rPr>
          <w:b/>
          <w:bCs/>
        </w:rPr>
        <w:t>предпенсионного</w:t>
      </w:r>
      <w:proofErr w:type="spellEnd"/>
      <w:r w:rsidRPr="005F15FA">
        <w:rPr>
          <w:b/>
          <w:bCs/>
        </w:rPr>
        <w:t xml:space="preserve"> возраста, обязанности и ответственность работодателя.</w:t>
      </w:r>
    </w:p>
    <w:p w:rsidR="005F15FA" w:rsidRPr="005F15FA" w:rsidRDefault="005F15FA" w:rsidP="005F15FA">
      <w:r w:rsidRPr="005F15FA">
        <w:t> </w:t>
      </w:r>
    </w:p>
    <w:p w:rsidR="005F15FA" w:rsidRPr="005F15FA" w:rsidRDefault="005F15FA" w:rsidP="005F15FA">
      <w:r w:rsidRPr="005F15FA">
        <w:t xml:space="preserve">       В связи с проведением пенсионной реформы в России с 2019 года в ряде законодательных актов было закреплено новое понятие – </w:t>
      </w:r>
      <w:proofErr w:type="spellStart"/>
      <w:r w:rsidRPr="005F15FA">
        <w:t>предпенсионный</w:t>
      </w:r>
      <w:proofErr w:type="spellEnd"/>
      <w:r w:rsidRPr="005F15FA">
        <w:t xml:space="preserve"> возраст.</w:t>
      </w:r>
    </w:p>
    <w:p w:rsidR="005F15FA" w:rsidRPr="005F15FA" w:rsidRDefault="005F15FA" w:rsidP="005F15FA">
      <w:r w:rsidRPr="005F15FA">
        <w:t xml:space="preserve">       </w:t>
      </w:r>
      <w:proofErr w:type="gramStart"/>
      <w:r w:rsidRPr="005F15FA">
        <w:t xml:space="preserve">С 2019 г. под </w:t>
      </w:r>
      <w:proofErr w:type="spellStart"/>
      <w:r w:rsidRPr="005F15FA">
        <w:t>предпенсионным</w:t>
      </w:r>
      <w:proofErr w:type="spellEnd"/>
      <w:r w:rsidRPr="005F15FA">
        <w:t xml:space="preserve"> возрастом понимается период в течение пяти лет до наступления возраста, дающего право на страховую пенсию по старости, в том числе назначенную досрочно (п. 3 ст. 1, ст. 11 Федерального закона от 03.10.2018 №350-ФЗ "О внесении изменений в отдельные законодательные акты Российской Федерации по вопросам назначения и выплаты пенсий» (далее – Закон №350-ФЗ)).</w:t>
      </w:r>
      <w:proofErr w:type="gramEnd"/>
    </w:p>
    <w:p w:rsidR="005F15FA" w:rsidRPr="005F15FA" w:rsidRDefault="005F15FA" w:rsidP="005F15FA">
      <w:r w:rsidRPr="005F15FA">
        <w:t xml:space="preserve">       С указанного года женщины выходят на пенсию с 60 лет, а мужчины с 65 лет. При этом установлен так называемый переходный период - 2019 - 2027 гг. (п. п. 1, 14 ст. 7 Закона №350-ФЗ). В течение первых двух лет этого периода можно выйти на пенсию по старости на полгода раньше. Такое право есть у работников, которые </w:t>
      </w:r>
      <w:proofErr w:type="gramStart"/>
      <w:r w:rsidRPr="005F15FA">
        <w:t>достигнут пенсионного возраста по новому законодательству либо приобретут стаж для</w:t>
      </w:r>
      <w:proofErr w:type="gramEnd"/>
      <w:r w:rsidRPr="005F15FA">
        <w:t xml:space="preserve"> досрочного назначения пенсии (п. 3 ст. 10 Закона №350-ФЗ). В переходный период понять, считается ли работник </w:t>
      </w:r>
      <w:proofErr w:type="spellStart"/>
      <w:r w:rsidRPr="005F15FA">
        <w:t>предпенсионером</w:t>
      </w:r>
      <w:proofErr w:type="spellEnd"/>
      <w:r w:rsidRPr="005F15FA">
        <w:t xml:space="preserve">, возможно на основании его даты рождения и пола. Конкретные даты начала и окончания </w:t>
      </w:r>
      <w:proofErr w:type="spellStart"/>
      <w:r w:rsidRPr="005F15FA">
        <w:t>предпенсионного</w:t>
      </w:r>
      <w:proofErr w:type="spellEnd"/>
      <w:r w:rsidRPr="005F15FA">
        <w:t xml:space="preserve"> </w:t>
      </w:r>
      <w:r w:rsidRPr="005F15FA">
        <w:lastRenderedPageBreak/>
        <w:t xml:space="preserve">возраста необходимо определять с учетом числа и месяца рождения работника. Например, если работница родилась 1 марта 1966 г., то </w:t>
      </w:r>
      <w:proofErr w:type="spellStart"/>
      <w:r w:rsidRPr="005F15FA">
        <w:t>предпенсионный</w:t>
      </w:r>
      <w:proofErr w:type="spellEnd"/>
      <w:r w:rsidRPr="005F15FA">
        <w:t xml:space="preserve"> период начинается 1 марта 2019 г., а заканчивается 29 февраля 2024 г.</w:t>
      </w:r>
    </w:p>
    <w:p w:rsidR="005F15FA" w:rsidRPr="005F15FA" w:rsidRDefault="005F15FA" w:rsidP="005F15FA">
      <w:r w:rsidRPr="005F15FA">
        <w:t xml:space="preserve">       Периоды </w:t>
      </w:r>
      <w:proofErr w:type="spellStart"/>
      <w:r w:rsidRPr="005F15FA">
        <w:t>предпенсионного</w:t>
      </w:r>
      <w:proofErr w:type="spellEnd"/>
      <w:r w:rsidRPr="005F15FA">
        <w:t xml:space="preserve"> возраста для женщин, рожденных: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с 1 января 1964 г. по 30 июня 1964 г. - 2014 - 2019 гг.;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с 1 июля 1964 г. по 31 декабря 1964 г. - 2015 - 2020 гг.;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с 1 января 1965 г. по 30 июня 1965 г. - 2016 - 2021 гг.;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с 1 июля 1965 г. по 31 декабря 1965 г. - 2017 - 2022 гг.;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в 1966 г. - 2019 - 2024 гг.;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в 1967 г. - 2021 - 2026 гг.;</w:t>
      </w:r>
    </w:p>
    <w:p w:rsidR="005F15FA" w:rsidRPr="005F15FA" w:rsidRDefault="005F15FA" w:rsidP="005F15FA">
      <w:pPr>
        <w:numPr>
          <w:ilvl w:val="0"/>
          <w:numId w:val="1"/>
        </w:numPr>
      </w:pPr>
      <w:r w:rsidRPr="005F15FA">
        <w:t>в 1968 г. - 2023 - 2028 гг.</w:t>
      </w:r>
    </w:p>
    <w:p w:rsidR="005F15FA" w:rsidRPr="005F15FA" w:rsidRDefault="005F15FA" w:rsidP="005F15FA">
      <w:r w:rsidRPr="005F15FA">
        <w:t xml:space="preserve">       Периоды </w:t>
      </w:r>
      <w:proofErr w:type="spellStart"/>
      <w:r w:rsidRPr="005F15FA">
        <w:t>предпенсионного</w:t>
      </w:r>
      <w:proofErr w:type="spellEnd"/>
      <w:r w:rsidRPr="005F15FA">
        <w:t xml:space="preserve"> возраста для мужчин, рожденных: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с 1 января 1959 г. по 30 июня 1959 г. - 2014 - 2019 гг.;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с 1 июля 1959 г. по 31 декабря 1959 г. - 2015 - 2020 гг.;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с 1 января 1960 г. по 30 июня 1960 г. - 2016 - 2021 гг.;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с 1 июля 1960 г. по 31 декабря 1960 г. - 2017 - 2022 гг.;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в 1961 г. - 2019 - 2024 гг.;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в 1962 г. - 2021 - 2026 гг.;</w:t>
      </w:r>
    </w:p>
    <w:p w:rsidR="005F15FA" w:rsidRPr="005F15FA" w:rsidRDefault="005F15FA" w:rsidP="005F15FA">
      <w:pPr>
        <w:numPr>
          <w:ilvl w:val="0"/>
          <w:numId w:val="2"/>
        </w:numPr>
      </w:pPr>
      <w:r w:rsidRPr="005F15FA">
        <w:t>в 1963 г. - 2023 - 2028 гг.</w:t>
      </w:r>
    </w:p>
    <w:p w:rsidR="005F15FA" w:rsidRPr="005F15FA" w:rsidRDefault="005F15FA" w:rsidP="005F15FA">
      <w:r w:rsidRPr="005F15FA">
        <w:t xml:space="preserve">       </w:t>
      </w:r>
      <w:proofErr w:type="gramStart"/>
      <w:r w:rsidRPr="005F15FA">
        <w:t>Согласно письма</w:t>
      </w:r>
      <w:proofErr w:type="gramEnd"/>
      <w:r w:rsidRPr="005F15FA">
        <w:t xml:space="preserve"> </w:t>
      </w:r>
      <w:proofErr w:type="spellStart"/>
      <w:r w:rsidRPr="005F15FA">
        <w:t>Роструда</w:t>
      </w:r>
      <w:proofErr w:type="spellEnd"/>
      <w:r w:rsidRPr="005F15FA">
        <w:t xml:space="preserve"> от 25.07.2018 №858-ПР региональными центрами занятости организован ежеквартальный мониторинг сведений об организациях (работодателях) и численности работников организаций, не являющихся пенсионерами, а также ежемесячного мониторинга реализации мер по содействию занятости граждан </w:t>
      </w:r>
      <w:proofErr w:type="spellStart"/>
      <w:r w:rsidRPr="005F15FA">
        <w:t>предпенсионного</w:t>
      </w:r>
      <w:proofErr w:type="spellEnd"/>
      <w:r w:rsidRPr="005F15FA">
        <w:t xml:space="preserve"> возраста.</w:t>
      </w:r>
    </w:p>
    <w:p w:rsidR="005F15FA" w:rsidRPr="005F15FA" w:rsidRDefault="005F15FA" w:rsidP="005F15FA">
      <w:r w:rsidRPr="005F15FA">
        <w:t xml:space="preserve">       С 2019 г. работников </w:t>
      </w:r>
      <w:proofErr w:type="spellStart"/>
      <w:r w:rsidRPr="005F15FA">
        <w:t>предпенсионного</w:t>
      </w:r>
      <w:proofErr w:type="spellEnd"/>
      <w:r w:rsidRPr="005F15FA">
        <w:t xml:space="preserve"> возраста по их заявлению работодателю необходимо освобождать от работы на два рабочих дня раз в год для прохождения диспансеризации. Конкретные дни освобождения от работы согласовываются с работодателем. За эти дни работодателю необходимо выплатить им средний заработок, а также сохранить место работы. Указанные гарантии установлены Федеральным законом от 03.10.2018 № 353-ФЗ "О внесении изменения в Трудовой кодекс Российской Федерации".</w:t>
      </w:r>
    </w:p>
    <w:p w:rsidR="005F15FA" w:rsidRPr="005F15FA" w:rsidRDefault="005F15FA" w:rsidP="005F15FA">
      <w:r w:rsidRPr="005F15FA">
        <w:t xml:space="preserve">       В случае нарушения работодателем общего порядка увольнения работника </w:t>
      </w:r>
      <w:proofErr w:type="spellStart"/>
      <w:r w:rsidRPr="005F15FA">
        <w:t>предпенсионного</w:t>
      </w:r>
      <w:proofErr w:type="spellEnd"/>
      <w:r w:rsidRPr="005F15FA">
        <w:t xml:space="preserve"> возраста, когда, например, не произведена выплата или нарушен срок выплаты сумм, положенных при увольнении, работодатель подлежит привлечению к административной ответственности по ст. 5.27 КоАП РФ (если эти действия не содержат уголовно наказуемого деяния в соответствии со ст. 145.1 УК РФ).</w:t>
      </w:r>
    </w:p>
    <w:p w:rsidR="005F15FA" w:rsidRPr="005F15FA" w:rsidRDefault="005F15FA" w:rsidP="005F15FA">
      <w:r w:rsidRPr="005F15FA">
        <w:t xml:space="preserve">       За необоснованное увольнение работников </w:t>
      </w:r>
      <w:proofErr w:type="spellStart"/>
      <w:r w:rsidRPr="005F15FA">
        <w:t>предпенсионного</w:t>
      </w:r>
      <w:proofErr w:type="spellEnd"/>
      <w:r w:rsidRPr="005F15FA">
        <w:t xml:space="preserve"> возраста предусмотрена уголовная ответственность по ст. 144.1 УК РФ. В этом случае руководителю организации или </w:t>
      </w:r>
      <w:r w:rsidRPr="005F15FA">
        <w:lastRenderedPageBreak/>
        <w:t>работнику, уполномоченному принимать и увольнять сотрудников, могут назначить один из следующих видов наказания:</w:t>
      </w:r>
    </w:p>
    <w:p w:rsidR="005F15FA" w:rsidRPr="005F15FA" w:rsidRDefault="005F15FA" w:rsidP="005F15FA">
      <w:pPr>
        <w:numPr>
          <w:ilvl w:val="0"/>
          <w:numId w:val="3"/>
        </w:numPr>
      </w:pPr>
      <w:r w:rsidRPr="005F15FA">
        <w:t>штраф в размере до 200 000 руб. или в размере заработной платы (иного дохода) осужденного за период до 18 месяцев;</w:t>
      </w:r>
    </w:p>
    <w:p w:rsidR="005F15FA" w:rsidRPr="005F15FA" w:rsidRDefault="005F15FA" w:rsidP="005F15FA">
      <w:pPr>
        <w:numPr>
          <w:ilvl w:val="0"/>
          <w:numId w:val="3"/>
        </w:numPr>
      </w:pPr>
      <w:r w:rsidRPr="005F15FA">
        <w:t>обязательные работы на срок до 360 ч.</w:t>
      </w:r>
    </w:p>
    <w:p w:rsidR="005F15FA" w:rsidRPr="005F15FA" w:rsidRDefault="005F15FA" w:rsidP="005F15FA">
      <w:r w:rsidRPr="005F15FA">
        <w:t xml:space="preserve">       За необоснованный отказ в приеме на работу </w:t>
      </w:r>
      <w:proofErr w:type="spellStart"/>
      <w:r w:rsidRPr="005F15FA">
        <w:t>предпенсионера</w:t>
      </w:r>
      <w:proofErr w:type="spellEnd"/>
      <w:r w:rsidRPr="005F15FA">
        <w:t xml:space="preserve"> предусмотрена уголовная ответственность по ст. 144.1 УК РФ. При этом отказ должен быть связан именно с достижением соискателем </w:t>
      </w:r>
      <w:proofErr w:type="spellStart"/>
      <w:r w:rsidRPr="005F15FA">
        <w:t>предпенсионного</w:t>
      </w:r>
      <w:proofErr w:type="spellEnd"/>
      <w:r w:rsidRPr="005F15FA">
        <w:t xml:space="preserve"> возраста.</w:t>
      </w:r>
    </w:p>
    <w:p w:rsidR="005F15FA" w:rsidRPr="005F15FA" w:rsidRDefault="005F15FA" w:rsidP="005F15FA">
      <w:r w:rsidRPr="005F15FA">
        <w:t>       Запрет на необоснованный отказ в приеме на работу, в том числе из-за возраста соискателя установлен ст. 64 Трудового кодекса РФ. Работодатель обязан сообщить причину отказа в письменной форме, если соискатель этого потребует. Ответ необходимо дать в течение семи рабочих дней (ч. 5 ст. 64 ТК РФ).</w:t>
      </w:r>
    </w:p>
    <w:p w:rsidR="00FF78F9" w:rsidRDefault="00FF78F9"/>
    <w:sectPr w:rsidR="00FF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A5A"/>
    <w:multiLevelType w:val="multilevel"/>
    <w:tmpl w:val="746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6347"/>
    <w:multiLevelType w:val="multilevel"/>
    <w:tmpl w:val="C11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25E00"/>
    <w:multiLevelType w:val="multilevel"/>
    <w:tmpl w:val="D9A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4C"/>
    <w:rsid w:val="001E11F5"/>
    <w:rsid w:val="0031394A"/>
    <w:rsid w:val="003822EA"/>
    <w:rsid w:val="005F15FA"/>
    <w:rsid w:val="00B6144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28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3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okolova@expro-elekt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we-expq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2019-03-27T11:44:00Z</cp:lastPrinted>
  <dcterms:created xsi:type="dcterms:W3CDTF">2019-03-27T11:48:00Z</dcterms:created>
  <dcterms:modified xsi:type="dcterms:W3CDTF">2019-03-27T11:48:00Z</dcterms:modified>
</cp:coreProperties>
</file>